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3204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остановления администрации муниципального образования </w:t>
      </w:r>
    </w:p>
    <w:p>
      <w:pPr>
        <w:pStyle w:val="P6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Кореновский район </w:t>
      </w:r>
      <w:r>
        <w:rPr>
          <w:rFonts w:cs="Times New Roman"/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реестра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муниципальных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услуг</w:t>
      </w:r>
      <w:r>
        <w:rPr>
          <w:b/>
          <w:sz w:val="28"/>
          <w:szCs w:val="28"/>
        </w:rPr>
        <w:t xml:space="preserve"> администрации муниципального образования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Кореновский район</w:t>
      </w:r>
      <w:r>
        <w:rPr>
          <w:b/>
          <w:bCs/>
          <w:sz w:val="28"/>
          <w:szCs w:val="28"/>
        </w:rPr>
        <w:t>, предоставление которых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посредством комплексного запроса не осуществляется</w:t>
      </w:r>
      <w:r>
        <w:rPr>
          <w:b/>
          <w:sz w:val="28"/>
          <w:szCs w:val="28"/>
        </w:rPr>
        <w:t>»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необходимо: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P6"/>
        <w:spacing w:before="0" w:after="0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298 «</w:t>
      </w:r>
      <w:r>
        <w:rPr>
          <w:sz w:val="28"/>
          <w:szCs w:val="28"/>
        </w:rPr>
        <w:t xml:space="preserve">Об утверждении реестра </w:t>
      </w:r>
      <w:r>
        <w:rPr>
          <w:bCs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>, предоставление которых посредством комплексного запроса не осуществляется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1134" w:footer="215" w:bottom="567"/>
          <w:pgNumType w:fmt="decimal"/>
          <w:formProt w:val="false"/>
          <w:textDirection w:val="lrTb"/>
          <w:docGrid w:type="default" w:linePitch="360" w:charSpace="26214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_________________ ________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5804"/>
        <w:gridCol w:w="3102"/>
      </w:tblGrid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1"/>
    <w:qFormat/>
    <w:pPr/>
    <w:rPr/>
  </w:style>
  <w:style w:type="paragraph" w:styleId="Style32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93D2-CBD7-4A43-B1C9-1F4CDBEE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Application>LibreOffice/7.5.4.2$Windows_X86_64 LibreOffice_project/36ccfdc35048b057fd9854c757a8b67ec53977b6</Application>
  <AppVersion>15.0000</AppVersion>
  <Pages>6</Pages>
  <Words>1405</Words>
  <Characters>11327</Characters>
  <CharactersWithSpaces>13594</CharactersWithSpaces>
  <Paragraphs>203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2023-03-09T11:36:00Z</cp:lastPrinted>
  <dcterms:modified xsi:type="dcterms:W3CDTF">2023-12-26T15:48:36Z</dcterms:modified>
  <cp:revision>257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